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B7" w:rsidRDefault="00792AB7" w:rsidP="00792AB7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Блок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p w:rsidR="00792AB7" w:rsidRDefault="00792AB7" w:rsidP="00792AB7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</w:p>
    <w:p w:rsidR="00792AB7" w:rsidRDefault="00792AB7" w:rsidP="00792AB7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854"/>
        <w:gridCol w:w="7454"/>
        <w:gridCol w:w="1375"/>
        <w:gridCol w:w="1374"/>
      </w:tblGrid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П.П.№</w:t>
            </w:r>
          </w:p>
        </w:tc>
        <w:tc>
          <w:tcPr>
            <w:tcW w:w="7454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7454" w:type="dxa"/>
          </w:tcPr>
          <w:p w:rsidR="00792AB7" w:rsidRDefault="00792AB7" w:rsidP="00792AB7">
            <w:r w:rsidRPr="005E49F3">
              <w:t xml:space="preserve">1.Ссылка на страницу сайта, где размещена </w:t>
            </w:r>
            <w:r>
              <w:t>Программа развития ОУ</w:t>
            </w:r>
            <w:r w:rsidRPr="005E49F3">
              <w:t xml:space="preserve"> </w:t>
            </w:r>
          </w:p>
        </w:tc>
        <w:tc>
          <w:tcPr>
            <w:tcW w:w="2749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7454" w:type="dxa"/>
          </w:tcPr>
          <w:p w:rsidR="00792AB7" w:rsidRDefault="00792AB7" w:rsidP="00792AB7">
            <w:pPr>
              <w:spacing w:before="71"/>
            </w:pPr>
            <w:r w:rsidRPr="005E49F3">
              <w:t xml:space="preserve">В каком году утверждена основная образовательная программа вашей дошкольной организации (ООП </w:t>
            </w:r>
            <w:r>
              <w:t>дошкольных групп МОУ Любимской СОШ)</w:t>
            </w:r>
          </w:p>
        </w:tc>
        <w:tc>
          <w:tcPr>
            <w:tcW w:w="2749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657"/>
        </w:trPr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7454" w:type="dxa"/>
          </w:tcPr>
          <w:p w:rsidR="00792AB7" w:rsidRDefault="00792AB7" w:rsidP="00792AB7">
            <w:r w:rsidRPr="005E49F3">
              <w:t xml:space="preserve">Ссылка на страницу сайта, где размещена полная версия организации (ООП </w:t>
            </w:r>
            <w:r>
              <w:t>дошкольных групп МОУ Любимской СОШ)</w:t>
            </w:r>
          </w:p>
        </w:tc>
        <w:tc>
          <w:tcPr>
            <w:tcW w:w="2749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7454" w:type="dxa"/>
          </w:tcPr>
          <w:p w:rsidR="00792AB7" w:rsidRDefault="00792AB7" w:rsidP="00792AB7">
            <w:r w:rsidRPr="005E49F3">
              <w:t>Ссылка на страницу сайта, где р</w:t>
            </w:r>
            <w:r>
              <w:t xml:space="preserve">азмещена краткая презентация </w:t>
            </w:r>
            <w:r w:rsidRPr="005E49F3">
              <w:t xml:space="preserve">(ООП </w:t>
            </w:r>
            <w:r>
              <w:t>дошкольных групп МОУ Любимской СОШ)</w:t>
            </w:r>
          </w:p>
        </w:tc>
        <w:tc>
          <w:tcPr>
            <w:tcW w:w="2749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60"/>
        </w:trPr>
        <w:tc>
          <w:tcPr>
            <w:tcW w:w="854" w:type="dxa"/>
            <w:vMerge w:val="restart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7454" w:type="dxa"/>
            <w:vMerge w:val="restart"/>
          </w:tcPr>
          <w:p w:rsidR="00792AB7" w:rsidRDefault="00792AB7" w:rsidP="00792AB7">
            <w:r w:rsidRPr="005E49F3">
              <w:t xml:space="preserve">ООП ДОО содержит основные разделы: целевой, содержательный, организационный  </w:t>
            </w:r>
          </w:p>
        </w:tc>
        <w:tc>
          <w:tcPr>
            <w:tcW w:w="1375" w:type="dxa"/>
          </w:tcPr>
          <w:p w:rsidR="00792AB7" w:rsidRPr="001379EC" w:rsidRDefault="00792AB7" w:rsidP="00792AB7">
            <w:pPr>
              <w:spacing w:before="71"/>
              <w:jc w:val="center"/>
              <w:rPr>
                <w:b/>
              </w:rPr>
            </w:pPr>
            <w:r w:rsidRPr="001379EC">
              <w:rPr>
                <w:b/>
              </w:rPr>
              <w:t>ДА</w:t>
            </w:r>
          </w:p>
        </w:tc>
        <w:tc>
          <w:tcPr>
            <w:tcW w:w="1374" w:type="dxa"/>
          </w:tcPr>
          <w:p w:rsidR="00792AB7" w:rsidRPr="001379EC" w:rsidRDefault="00792AB7" w:rsidP="00792AB7">
            <w:pPr>
              <w:spacing w:before="71"/>
              <w:jc w:val="center"/>
              <w:rPr>
                <w:b/>
              </w:rPr>
            </w:pPr>
            <w:r w:rsidRPr="001379EC">
              <w:rPr>
                <w:b/>
              </w:rPr>
              <w:t>НЕТ</w:t>
            </w:r>
          </w:p>
        </w:tc>
      </w:tr>
      <w:tr w:rsidR="00792AB7" w:rsidTr="00792AB7">
        <w:trPr>
          <w:trHeight w:val="53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  <w:vMerge/>
          </w:tcPr>
          <w:p w:rsidR="00792AB7" w:rsidRPr="005E49F3" w:rsidRDefault="00792AB7" w:rsidP="00792AB7"/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7454" w:type="dxa"/>
          </w:tcPr>
          <w:p w:rsidR="00792AB7" w:rsidRDefault="00792AB7" w:rsidP="00792AB7">
            <w:pPr>
              <w:spacing w:before="71"/>
            </w:pPr>
            <w:r w:rsidRPr="005E49F3">
              <w:t>Каждый раздел отражает обязательную часть и  часть, формируемую участниками образовательных отношений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854" w:type="dxa"/>
          </w:tcPr>
          <w:p w:rsidR="00792AB7" w:rsidRDefault="00792AB7" w:rsidP="00792AB7">
            <w:pPr>
              <w:spacing w:before="71"/>
            </w:pPr>
            <w:r>
              <w:t>7.</w:t>
            </w:r>
          </w:p>
        </w:tc>
        <w:tc>
          <w:tcPr>
            <w:tcW w:w="7454" w:type="dxa"/>
          </w:tcPr>
          <w:p w:rsidR="00792AB7" w:rsidRDefault="00792AB7" w:rsidP="00792AB7">
            <w:pPr>
              <w:spacing w:before="71"/>
            </w:pPr>
            <w:r w:rsidRPr="001379EC">
              <w:rPr>
                <w:b/>
              </w:rPr>
              <w:t>Целевой раздел</w:t>
            </w:r>
            <w:r w:rsidRPr="005E49F3">
              <w:t xml:space="preserve"> ООП ДОО. Пояснительная записка раскрывает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22"/>
        </w:trPr>
        <w:tc>
          <w:tcPr>
            <w:tcW w:w="854" w:type="dxa"/>
            <w:vMerge w:val="restart"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Цели и задачи образовательной деятельности ДОО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85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Принципы и подходы к формированию программы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06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Планируемые результаты: целевые ориентиры в младенческом возрасте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24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Планируемые результаты: целевые ориентиры в раннем возрасте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1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 xml:space="preserve">Планируемые результаты: целевые ориентиры на этапе завершения освоения Программы 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497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 xml:space="preserve">ООП включает пункт "Развивающее оценивание качества образовательной деятельности по Программе" 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45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В ООП ДОО представлен инструментарий для ВСОКО (внутренней системы оценки качества</w:t>
            </w:r>
            <w:r>
              <w:t>)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23"/>
        </w:trPr>
        <w:tc>
          <w:tcPr>
            <w:tcW w:w="854" w:type="dxa"/>
            <w:vMerge w:val="restart"/>
          </w:tcPr>
          <w:p w:rsidR="00792AB7" w:rsidRDefault="00792AB7" w:rsidP="00792AB7">
            <w:pPr>
              <w:spacing w:before="71"/>
            </w:pPr>
            <w:r>
              <w:t>8.</w:t>
            </w:r>
          </w:p>
        </w:tc>
        <w:tc>
          <w:tcPr>
            <w:tcW w:w="7454" w:type="dxa"/>
          </w:tcPr>
          <w:p w:rsidR="00792AB7" w:rsidRPr="001379EC" w:rsidRDefault="00792AB7" w:rsidP="00792AB7">
            <w:pPr>
              <w:rPr>
                <w:b/>
              </w:rPr>
            </w:pPr>
            <w:r w:rsidRPr="001379EC">
              <w:rPr>
                <w:b/>
              </w:rPr>
              <w:t>Содержательный раздел.</w:t>
            </w:r>
          </w:p>
          <w:p w:rsidR="00792AB7" w:rsidRDefault="00792AB7" w:rsidP="00792AB7">
            <w:pPr>
              <w:rPr>
                <w:i/>
              </w:rPr>
            </w:pPr>
            <w:r w:rsidRPr="005E49F3">
              <w:t xml:space="preserve"> Содержит описание образовательной деятельности в соответствии с направлениями развития ребенка, представленными в пяти образовательных областях, с учетом возрастных особенностей воспитанников:</w:t>
            </w:r>
          </w:p>
          <w:p w:rsidR="00792AB7" w:rsidRPr="00EE5B8F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по социально-коммуникативному развитию: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EE5B8F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по познавательному развитию: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rPr>
                <w:i/>
              </w:rPr>
              <w:t>по речевому развитию:</w:t>
            </w:r>
            <w:r w:rsidRPr="005E49F3">
              <w:t xml:space="preserve">                   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rPr>
                <w:i/>
              </w:rPr>
              <w:t>по художественно-эстетическому развитию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 w:val="restart"/>
            <w:tcBorders>
              <w:top w:val="nil"/>
            </w:tcBorders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rPr>
                <w:i/>
              </w:rPr>
              <w:t>по физическому развитию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 xml:space="preserve">Представлен раздел «Взаимодействие взрослых с детьми»:  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44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 xml:space="preserve">Представлен раздел «Взаимодействие педагогического коллектива с семьей»:  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06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roofErr w:type="gramStart"/>
            <w:r w:rsidRPr="005E49F3">
              <w:t>Представлен раздел «Программа коррекционно-развивающей работы с детьми с ограниченным возможностями здоровья»:</w:t>
            </w:r>
            <w:proofErr w:type="gramEnd"/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06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В содержании ООП описаны особенности образовательной деятельности и организации разных видов культурных практик (по возрастам)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В содержании ООП описаны способы поддержки детской инициативы, самостоятельности (по возраста</w:t>
            </w:r>
            <w:r>
              <w:t>м</w:t>
            </w:r>
            <w:r w:rsidRPr="005E49F3">
              <w:t xml:space="preserve">)    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 w:val="restart"/>
          </w:tcPr>
          <w:p w:rsidR="00792AB7" w:rsidRDefault="00792AB7" w:rsidP="00792AB7">
            <w:pPr>
              <w:spacing w:before="71"/>
            </w:pPr>
            <w:r>
              <w:t>9.</w:t>
            </w:r>
          </w:p>
        </w:tc>
        <w:tc>
          <w:tcPr>
            <w:tcW w:w="7454" w:type="dxa"/>
          </w:tcPr>
          <w:p w:rsidR="00792AB7" w:rsidRPr="005E49F3" w:rsidRDefault="00792AB7" w:rsidP="00792AB7">
            <w:r w:rsidRPr="001379EC">
              <w:rPr>
                <w:b/>
              </w:rPr>
              <w:t>Организационный раздел</w:t>
            </w:r>
            <w:r w:rsidRPr="005E49F3">
              <w:t>. Представлены следующие подразделы: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rPr>
                <w:i/>
              </w:rPr>
              <w:t>"Психолого-педагогические условия, созданные в ДОО,  обеспечивающие развитие ребенка (по возрастам)":</w:t>
            </w:r>
            <w:r w:rsidRPr="005E49F3">
              <w:t xml:space="preserve">                                   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младенческий возраст</w:t>
            </w:r>
            <w:r w:rsidRPr="005E49F3">
              <w:tab/>
            </w:r>
          </w:p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  <w:p w:rsidR="00792AB7" w:rsidRPr="002B7704" w:rsidRDefault="00792AB7" w:rsidP="00792AB7">
            <w:r w:rsidRPr="005E49F3">
              <w:t>дошкольный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53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"Организация развивающей предметно-пространственной среды"</w:t>
            </w:r>
          </w:p>
          <w:p w:rsidR="00792AB7" w:rsidRPr="005E49F3" w:rsidRDefault="00792AB7" w:rsidP="00792AB7"/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84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t>младенческий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0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ранний возраст</w:t>
            </w:r>
            <w:r w:rsidRPr="005E49F3">
              <w:tab/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t>дошкольный возраст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r w:rsidRPr="005E49F3">
              <w:rPr>
                <w:i/>
              </w:rPr>
              <w:t xml:space="preserve">"Кадровые условия реализации ООП"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 xml:space="preserve">"Материально-техническое обеспечение  реализации ООП"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 xml:space="preserve">"Финансовые условия  реализации ООП"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 xml:space="preserve">"Планирование образовательной деятельности"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 xml:space="preserve">"Режим дня и распорядок"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975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"Перспективы работы по совершенствованию и развитию содержания Программы, обеспечивающих ее реализацию нормативно-правовых, финансовых, научно-технических, кадровых, информационных и материально-технических ресурсов"</w:t>
            </w:r>
          </w:p>
          <w:p w:rsidR="00792AB7" w:rsidRPr="005E49F3" w:rsidRDefault="00792AB7" w:rsidP="00792AB7">
            <w:pPr>
              <w:rPr>
                <w:i/>
              </w:rPr>
            </w:pP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"Перечень нормативных и нормативно-методических документов"</w:t>
            </w:r>
          </w:p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 xml:space="preserve"> </w:t>
            </w:r>
            <w:r w:rsidRPr="005E49F3">
              <w:t>раздел представлен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854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7454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"Перечень литературных источников"</w:t>
            </w:r>
          </w:p>
        </w:tc>
        <w:tc>
          <w:tcPr>
            <w:tcW w:w="137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74" w:type="dxa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spacing w:before="71"/>
      </w:pPr>
    </w:p>
    <w:p w:rsidR="00792AB7" w:rsidRDefault="00792AB7" w:rsidP="00792AB7">
      <w:pPr>
        <w:rPr>
          <w:b/>
        </w:rPr>
      </w:pPr>
    </w:p>
    <w:p w:rsidR="00792AB7" w:rsidRDefault="00792AB7" w:rsidP="00792AB7">
      <w:pPr>
        <w:rPr>
          <w:b/>
        </w:rPr>
      </w:pPr>
    </w:p>
    <w:p w:rsidR="00792AB7" w:rsidRPr="005E49F3" w:rsidRDefault="00792AB7" w:rsidP="00792AB7">
      <w:pPr>
        <w:rPr>
          <w:b/>
        </w:rPr>
      </w:pPr>
      <w:r w:rsidRPr="005E49F3">
        <w:rPr>
          <w:b/>
        </w:rPr>
        <w:t>Блок 2.</w:t>
      </w:r>
      <w:r w:rsidRPr="005E49F3">
        <w:t xml:space="preserve"> </w:t>
      </w:r>
      <w:r w:rsidRPr="005E49F3">
        <w:rPr>
          <w:b/>
        </w:rPr>
        <w:t xml:space="preserve">Качество содержания образовательной деятельности в ДОО (социально-коммуникативное, познавательное, речевое, художественно-эстетическое, физическое </w:t>
      </w:r>
      <w:r w:rsidRPr="005E49F3">
        <w:rPr>
          <w:b/>
        </w:rPr>
        <w:lastRenderedPageBreak/>
        <w:t>развитие)</w:t>
      </w:r>
    </w:p>
    <w:p w:rsidR="00792AB7" w:rsidRDefault="00792AB7" w:rsidP="00792AB7">
      <w:pPr>
        <w:spacing w:before="71"/>
      </w:pPr>
    </w:p>
    <w:tbl>
      <w:tblPr>
        <w:tblStyle w:val="a3"/>
        <w:tblW w:w="11057" w:type="dxa"/>
        <w:tblInd w:w="-1168" w:type="dxa"/>
        <w:tblLook w:val="04A0"/>
      </w:tblPr>
      <w:tblGrid>
        <w:gridCol w:w="567"/>
        <w:gridCol w:w="7655"/>
        <w:gridCol w:w="1418"/>
        <w:gridCol w:w="1417"/>
      </w:tblGrid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765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</w:tc>
      </w:tr>
      <w:tr w:rsidR="00792AB7" w:rsidTr="00792AB7">
        <w:trPr>
          <w:trHeight w:val="554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7655" w:type="dxa"/>
          </w:tcPr>
          <w:p w:rsidR="00792AB7" w:rsidRDefault="00792AB7" w:rsidP="00792AB7">
            <w:r w:rsidRPr="005E49F3">
              <w:t xml:space="preserve">В ООП указаны и реализуются в ДОО дополнительные образовательные программы 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013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7655" w:type="dxa"/>
          </w:tcPr>
          <w:p w:rsidR="00792AB7" w:rsidRPr="005E49F3" w:rsidRDefault="00792AB7" w:rsidP="00792AB7">
            <w:r w:rsidRPr="005E49F3">
              <w:t xml:space="preserve">Наличие дополнительных образовательных программ в ДОО, отражающих содержание образовательной деятельности в ДОО по социально-коммуникативному развитию 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13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7655" w:type="dxa"/>
          </w:tcPr>
          <w:p w:rsidR="00792AB7" w:rsidRPr="005E49F3" w:rsidRDefault="00792AB7" w:rsidP="00792AB7">
            <w:r w:rsidRPr="005E49F3">
              <w:t xml:space="preserve"> При наличии, укажите какая дополнительная образовательная программ</w:t>
            </w:r>
            <w:proofErr w:type="gramStart"/>
            <w:r w:rsidRPr="005E49F3">
              <w:t>а(</w:t>
            </w:r>
            <w:proofErr w:type="spellStart"/>
            <w:proofErr w:type="gramEnd"/>
            <w:r w:rsidRPr="005E49F3">
              <w:t>ы</w:t>
            </w:r>
            <w:proofErr w:type="spellEnd"/>
            <w:r w:rsidRPr="005E49F3">
              <w:t>) по социально-коммуникативному развитию реализуется в ДОО</w:t>
            </w:r>
          </w:p>
          <w:p w:rsidR="00792AB7" w:rsidRPr="005E49F3" w:rsidRDefault="00792AB7" w:rsidP="00792AB7">
            <w:pPr>
              <w:spacing w:before="71"/>
            </w:pP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490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7655" w:type="dxa"/>
          </w:tcPr>
          <w:p w:rsidR="00792AB7" w:rsidRDefault="00792AB7" w:rsidP="00792AB7">
            <w:r w:rsidRPr="005E49F3">
              <w:t xml:space="preserve">Наличие дополнительных программ в ДОО, отражающих содержание образовательной деятельности в ДОО по познавательному развитию 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39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7655" w:type="dxa"/>
          </w:tcPr>
          <w:p w:rsidR="00792AB7" w:rsidRPr="005E49F3" w:rsidRDefault="00792AB7" w:rsidP="00792AB7">
            <w:r w:rsidRPr="005E49F3">
              <w:t>При наличии, укажите какая образовательная дополнительная программ</w:t>
            </w:r>
            <w:proofErr w:type="gramStart"/>
            <w:r w:rsidRPr="005E49F3">
              <w:t>а(</w:t>
            </w:r>
            <w:proofErr w:type="spellStart"/>
            <w:proofErr w:type="gramEnd"/>
            <w:r w:rsidRPr="005E49F3">
              <w:t>ы</w:t>
            </w:r>
            <w:proofErr w:type="spellEnd"/>
            <w:r w:rsidRPr="005E49F3">
              <w:t>) по познавательному развитию реализуется в ДОО</w:t>
            </w:r>
          </w:p>
          <w:p w:rsidR="00792AB7" w:rsidRPr="005E49F3" w:rsidRDefault="00792AB7" w:rsidP="00792AB7">
            <w:pPr>
              <w:spacing w:before="71"/>
            </w:pP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7655" w:type="dxa"/>
          </w:tcPr>
          <w:p w:rsidR="00792AB7" w:rsidRDefault="00792AB7" w:rsidP="00792AB7">
            <w:pPr>
              <w:spacing w:before="71"/>
            </w:pPr>
            <w:r w:rsidRPr="005E49F3">
              <w:t>Наличие дополнительных образовательных программ в ДОО, отражающих содержание образовательной деятельности в ДОО по речевому развитию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7.</w:t>
            </w:r>
          </w:p>
        </w:tc>
        <w:tc>
          <w:tcPr>
            <w:tcW w:w="7655" w:type="dxa"/>
          </w:tcPr>
          <w:p w:rsidR="00792AB7" w:rsidRDefault="00792AB7" w:rsidP="00792AB7">
            <w:pPr>
              <w:spacing w:before="71"/>
            </w:pPr>
            <w:r w:rsidRPr="005E49F3">
              <w:t>При наличии, укажите какая дополнительная образовательная программ</w:t>
            </w:r>
            <w:proofErr w:type="gramStart"/>
            <w:r w:rsidRPr="005E49F3">
              <w:t>а(</w:t>
            </w:r>
            <w:proofErr w:type="spellStart"/>
            <w:proofErr w:type="gramEnd"/>
            <w:r w:rsidRPr="005E49F3">
              <w:t>ы</w:t>
            </w:r>
            <w:proofErr w:type="spellEnd"/>
            <w:r w:rsidRPr="005E49F3">
              <w:t>) по речевому развитию реализуется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23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8.</w:t>
            </w:r>
          </w:p>
        </w:tc>
        <w:tc>
          <w:tcPr>
            <w:tcW w:w="7655" w:type="dxa"/>
          </w:tcPr>
          <w:p w:rsidR="00792AB7" w:rsidRDefault="00792AB7" w:rsidP="00792AB7">
            <w:r w:rsidRPr="005E49F3">
              <w:t xml:space="preserve">Наличие дополнительных программ в ДОО, отражающих содержание образовательной деятельности в ДОО по художественно-эстетическому развитию 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775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9.</w:t>
            </w:r>
          </w:p>
        </w:tc>
        <w:tc>
          <w:tcPr>
            <w:tcW w:w="7655" w:type="dxa"/>
          </w:tcPr>
          <w:p w:rsidR="00792AB7" w:rsidRPr="005E49F3" w:rsidRDefault="00792AB7" w:rsidP="00792AB7">
            <w:r w:rsidRPr="005E49F3">
              <w:t>При наличии, укажите какая дополнительная образовательная программ</w:t>
            </w:r>
            <w:proofErr w:type="gramStart"/>
            <w:r w:rsidRPr="005E49F3">
              <w:t>а(</w:t>
            </w:r>
            <w:proofErr w:type="spellStart"/>
            <w:proofErr w:type="gramEnd"/>
            <w:r w:rsidRPr="005E49F3">
              <w:t>ы</w:t>
            </w:r>
            <w:proofErr w:type="spellEnd"/>
            <w:r w:rsidRPr="005E49F3">
              <w:t>) по художественно-эстетическому  развитию реализуется в ДОО</w:t>
            </w:r>
          </w:p>
          <w:p w:rsidR="00792AB7" w:rsidRPr="005E49F3" w:rsidRDefault="00792AB7" w:rsidP="00792AB7">
            <w:pPr>
              <w:spacing w:before="71"/>
            </w:pP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54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10</w:t>
            </w:r>
          </w:p>
        </w:tc>
        <w:tc>
          <w:tcPr>
            <w:tcW w:w="7655" w:type="dxa"/>
          </w:tcPr>
          <w:p w:rsidR="00792AB7" w:rsidRDefault="00792AB7" w:rsidP="00792AB7">
            <w:proofErr w:type="gramStart"/>
            <w:r w:rsidRPr="005E49F3">
              <w:t>Наличие дополнительных программ в ДОО, отражающих содержание образовательной деятельности в ДОО по физическому развитию</w:t>
            </w:r>
            <w:r>
              <w:t xml:space="preserve"> (</w:t>
            </w:r>
            <w:proofErr w:type="gramEnd"/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775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11</w:t>
            </w:r>
          </w:p>
        </w:tc>
        <w:tc>
          <w:tcPr>
            <w:tcW w:w="7655" w:type="dxa"/>
          </w:tcPr>
          <w:p w:rsidR="00792AB7" w:rsidRPr="005E49F3" w:rsidRDefault="00792AB7" w:rsidP="00792AB7">
            <w:r w:rsidRPr="005E49F3">
              <w:t xml:space="preserve"> При наличии, укажите какая дополнительная образовательная программ</w:t>
            </w:r>
            <w:proofErr w:type="gramStart"/>
            <w:r w:rsidRPr="005E49F3">
              <w:t>а(</w:t>
            </w:r>
            <w:proofErr w:type="spellStart"/>
            <w:proofErr w:type="gramEnd"/>
            <w:r w:rsidRPr="005E49F3">
              <w:t>ы</w:t>
            </w:r>
            <w:proofErr w:type="spellEnd"/>
            <w:r w:rsidRPr="005E49F3">
              <w:t>) по физическому развитию реализуется в ДОО</w:t>
            </w:r>
          </w:p>
          <w:p w:rsidR="00792AB7" w:rsidRPr="005E49F3" w:rsidRDefault="00792AB7" w:rsidP="00792AB7">
            <w:pPr>
              <w:spacing w:before="71"/>
            </w:pP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95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12</w:t>
            </w:r>
          </w:p>
        </w:tc>
        <w:tc>
          <w:tcPr>
            <w:tcW w:w="7655" w:type="dxa"/>
          </w:tcPr>
          <w:p w:rsidR="00792AB7" w:rsidRDefault="00792AB7" w:rsidP="00792AB7">
            <w:r w:rsidRPr="005E49F3">
              <w:t xml:space="preserve"> В ДОО разработана и реализуется Рабочая программа воспитания </w:t>
            </w:r>
          </w:p>
        </w:tc>
        <w:tc>
          <w:tcPr>
            <w:tcW w:w="1418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190"/>
        </w:trPr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13</w:t>
            </w:r>
          </w:p>
        </w:tc>
        <w:tc>
          <w:tcPr>
            <w:tcW w:w="7655" w:type="dxa"/>
          </w:tcPr>
          <w:p w:rsidR="00792AB7" w:rsidRPr="005E49F3" w:rsidRDefault="00792AB7" w:rsidP="00792AB7">
            <w:pPr>
              <w:spacing w:before="71"/>
            </w:pPr>
            <w:r w:rsidRPr="005E49F3">
              <w:t>Ссылка на страницу сайта, где размещена Рабочая программа воспитания</w:t>
            </w:r>
          </w:p>
        </w:tc>
        <w:tc>
          <w:tcPr>
            <w:tcW w:w="2835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Pr="005E49F3" w:rsidRDefault="00792AB7" w:rsidP="00792AB7">
      <w:pPr>
        <w:rPr>
          <w:b/>
        </w:rPr>
      </w:pPr>
      <w:r w:rsidRPr="005E49F3">
        <w:rPr>
          <w:b/>
        </w:rPr>
        <w:t>Блок 3. Качество образовательных условий в ДОО (к</w:t>
      </w:r>
      <w:r>
        <w:rPr>
          <w:b/>
        </w:rPr>
        <w:t>адровые условия)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7089"/>
        <w:gridCol w:w="1559"/>
        <w:gridCol w:w="1559"/>
      </w:tblGrid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7089" w:type="dxa"/>
          </w:tcPr>
          <w:p w:rsidR="00792AB7" w:rsidRPr="005E49F3" w:rsidRDefault="00792AB7" w:rsidP="00792AB7">
            <w:pPr>
              <w:rPr>
                <w:i/>
              </w:rPr>
            </w:pPr>
            <w:r w:rsidRPr="005E49F3">
              <w:rPr>
                <w:i/>
              </w:rPr>
              <w:t>В ДОО созданы кадровые условия для реализации ООП</w:t>
            </w:r>
          </w:p>
          <w:p w:rsidR="00792AB7" w:rsidRDefault="00792AB7" w:rsidP="00792AB7">
            <w:pPr>
              <w:spacing w:before="71"/>
            </w:pP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lastRenderedPageBreak/>
              <w:t>1.</w:t>
            </w:r>
          </w:p>
        </w:tc>
        <w:tc>
          <w:tcPr>
            <w:tcW w:w="7089" w:type="dxa"/>
          </w:tcPr>
          <w:p w:rsidR="00792AB7" w:rsidRDefault="00792AB7" w:rsidP="00792AB7">
            <w:pPr>
              <w:spacing w:before="71"/>
            </w:pPr>
            <w:r w:rsidRPr="005E49F3">
              <w:t>Обеспеченность ДОО педагогическими кадрами согласно штатному расписанию ДОО</w:t>
            </w:r>
            <w:proofErr w:type="gramStart"/>
            <w:r w:rsidRPr="005E49F3">
              <w:t xml:space="preserve">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7089" w:type="dxa"/>
          </w:tcPr>
          <w:p w:rsidR="00792AB7" w:rsidRDefault="00792AB7" w:rsidP="00792AB7">
            <w:pPr>
              <w:spacing w:before="71"/>
            </w:pPr>
            <w:r w:rsidRPr="005E49F3">
              <w:t xml:space="preserve"> Обеспеченность ДОО учебно-вспомогательным персоналом (младшими воспитателями и помощниками воспитателей</w:t>
            </w:r>
            <w:proofErr w:type="gramStart"/>
            <w:r w:rsidRPr="005E49F3">
              <w:t>)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7089" w:type="dxa"/>
          </w:tcPr>
          <w:p w:rsidR="00792AB7" w:rsidRDefault="00792AB7" w:rsidP="00792AB7">
            <w:r w:rsidRPr="005E49F3">
              <w:t>Наличие педагогов первой квалификационной категории, % от числа всех педагогических работников ДОО</w:t>
            </w:r>
            <w:proofErr w:type="gramStart"/>
            <w:r w:rsidRPr="005E49F3">
              <w:t xml:space="preserve">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7089" w:type="dxa"/>
          </w:tcPr>
          <w:p w:rsidR="00792AB7" w:rsidRDefault="00792AB7" w:rsidP="00792AB7">
            <w:pPr>
              <w:spacing w:before="71"/>
            </w:pPr>
            <w:r w:rsidRPr="005E49F3">
              <w:t>Наличие педагогов  высшей квалификационной категории, % от числа всех педагогических работников ДОО</w:t>
            </w:r>
            <w:proofErr w:type="gramStart"/>
            <w:r w:rsidRPr="005E49F3">
              <w:t xml:space="preserve">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7089" w:type="dxa"/>
          </w:tcPr>
          <w:p w:rsidR="00792AB7" w:rsidRDefault="00792AB7" w:rsidP="00792AB7">
            <w:proofErr w:type="gramStart"/>
            <w:r w:rsidRPr="005E49F3">
              <w:t>Количество педагогов, участвующих в курсах повышения квалификации по тематике ФГОС ДО (не менее 16 часов) за последние 3 года, % от числа всех педагогических работников ДОО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7089" w:type="dxa"/>
          </w:tcPr>
          <w:p w:rsidR="00792AB7" w:rsidRDefault="00792AB7" w:rsidP="00792AB7">
            <w:r w:rsidRPr="005E49F3">
              <w:t>Количество педагогических работников, имеющих высшее образование (по профилю деятельности), % от числа всех педагогических работников ДОО</w:t>
            </w:r>
            <w:proofErr w:type="gramStart"/>
            <w:r w:rsidRPr="005E49F3">
              <w:t xml:space="preserve">  (%)</w:t>
            </w:r>
            <w:proofErr w:type="gramEnd"/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7.</w:t>
            </w:r>
          </w:p>
        </w:tc>
        <w:tc>
          <w:tcPr>
            <w:tcW w:w="7089" w:type="dxa"/>
          </w:tcPr>
          <w:p w:rsidR="00792AB7" w:rsidRDefault="00792AB7" w:rsidP="00792AB7">
            <w:r w:rsidRPr="005E49F3">
              <w:t>Численность детей, посещающих ДОО, в расчете на 1 педагогического работника</w:t>
            </w:r>
          </w:p>
        </w:tc>
        <w:tc>
          <w:tcPr>
            <w:tcW w:w="311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Pr="005E49F3" w:rsidRDefault="00792AB7" w:rsidP="00792AB7">
      <w:pPr>
        <w:rPr>
          <w:b/>
        </w:rPr>
      </w:pPr>
      <w:r>
        <w:rPr>
          <w:b/>
        </w:rPr>
        <w:t>Блок 4</w:t>
      </w:r>
      <w:r w:rsidRPr="005E49F3">
        <w:rPr>
          <w:b/>
        </w:rPr>
        <w:t>. Качество образовательных условий в ДОО (</w:t>
      </w:r>
      <w:r w:rsidRPr="005E49F3">
        <w:rPr>
          <w:i/>
        </w:rPr>
        <w:t>развивающая предметно-пространственная среда</w:t>
      </w:r>
      <w:r>
        <w:rPr>
          <w:b/>
        </w:rPr>
        <w:t>)</w:t>
      </w: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tbl>
      <w:tblPr>
        <w:tblStyle w:val="a3"/>
        <w:tblW w:w="10774" w:type="dxa"/>
        <w:tblInd w:w="-885" w:type="dxa"/>
        <w:tblLook w:val="04A0"/>
      </w:tblPr>
      <w:tblGrid>
        <w:gridCol w:w="505"/>
        <w:gridCol w:w="5620"/>
        <w:gridCol w:w="1591"/>
        <w:gridCol w:w="1529"/>
        <w:gridCol w:w="1529"/>
      </w:tblGrid>
      <w:tr w:rsidR="00792AB7" w:rsidTr="00792AB7">
        <w:tc>
          <w:tcPr>
            <w:tcW w:w="505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  <w:jc w:val="center"/>
            </w:pPr>
            <w:r w:rsidRPr="005E49F3">
              <w:t>соответствует</w:t>
            </w:r>
            <w:r>
              <w:t>;</w:t>
            </w:r>
            <w:r w:rsidRPr="005E49F3">
              <w:t xml:space="preserve"> </w:t>
            </w:r>
            <w:r>
              <w:t>да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  <w:jc w:val="center"/>
            </w:pPr>
            <w:r w:rsidRPr="005E49F3">
              <w:t>соответствует частично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  <w:jc w:val="center"/>
            </w:pPr>
            <w:r w:rsidRPr="005E49F3">
              <w:t xml:space="preserve">не </w:t>
            </w:r>
            <w:proofErr w:type="gramStart"/>
            <w:r w:rsidRPr="005E49F3">
              <w:t>соответствует</w:t>
            </w:r>
            <w:proofErr w:type="gramEnd"/>
            <w:r w:rsidRPr="005E49F3">
              <w:t xml:space="preserve"> </w:t>
            </w:r>
            <w:r>
              <w:t>нет</w:t>
            </w:r>
          </w:p>
        </w:tc>
      </w:tr>
      <w:tr w:rsidR="00792AB7" w:rsidTr="00792AB7"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  <w:r w:rsidRPr="005E49F3">
              <w:t xml:space="preserve">Содержательная насыщенность среды:  </w:t>
            </w:r>
            <w:r w:rsidRPr="005E49F3">
              <w:tab/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  <w:r w:rsidRPr="005E49F3">
              <w:t>Оборудование и организация пространства групп соответствует возрасту детей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  <w:r w:rsidRPr="005E49F3">
              <w:t>Оборудование и организация пространства групп соответствует индивидуальным особенностям детей, их интересам и предпочтениям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  <w:r w:rsidRPr="005E49F3">
              <w:t>Тема образовательных событий в группах имеет свое отражение во всех развивающих центрах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Default="00792AB7" w:rsidP="00792AB7">
            <w:pPr>
              <w:spacing w:before="71"/>
            </w:pPr>
            <w:r w:rsidRPr="005E49F3">
              <w:t>При организации пространства группы учитываются национально-культурные условия функционирования ДОО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pPr>
              <w:spacing w:before="71"/>
            </w:pPr>
            <w:r w:rsidRPr="005E49F3">
              <w:t>Наличие в группах материалов для организации разных видов детской игровой, коммуникативной, двигательной, познавательно-исследовательской, продуктивной, изобразительной, музыкальной деятельности, ознакомления с художественной литературой, конструирования из различного материала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pPr>
              <w:spacing w:before="71"/>
            </w:pPr>
            <w:r w:rsidRPr="005E49F3">
              <w:t>наличие в группах образно-символических, нормативно-знаковых материалов/символов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pPr>
              <w:spacing w:before="71"/>
            </w:pPr>
            <w:r w:rsidRPr="005E49F3">
              <w:t>Наличие технических средств обучения в группах (ноутбук, музыкальный центр, ЖК телевизор, интерактивная доска, др.)_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pPr>
              <w:spacing w:before="71"/>
            </w:pPr>
            <w:r w:rsidRPr="005E49F3">
              <w:t xml:space="preserve">Наличие в группе изделий, предметов, отражающих региональный компонент, обеспечивающих реализацию части ООП, формируемой участниками образовательных </w:t>
            </w:r>
            <w:r w:rsidRPr="005E49F3">
              <w:lastRenderedPageBreak/>
              <w:t>отношений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tcBorders>
              <w:top w:val="nil"/>
            </w:tcBorders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pPr>
              <w:spacing w:before="71"/>
            </w:pPr>
            <w:r w:rsidRPr="005E49F3">
              <w:t>Наличие в группе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5620" w:type="dxa"/>
          </w:tcPr>
          <w:p w:rsidR="00792AB7" w:rsidRPr="00803B90" w:rsidRDefault="00792AB7" w:rsidP="00792AB7">
            <w:pPr>
              <w:rPr>
                <w:b/>
              </w:rPr>
            </w:pPr>
            <w:r w:rsidRPr="00803B90">
              <w:rPr>
                <w:b/>
              </w:rPr>
              <w:t xml:space="preserve">Трансформируемость:     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полифункциональных ширм, перегородок и т.п.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тканей, веревок, скрепок для организации пространства детской игры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мольбертов для рисования или стенового пространства для творческой деятельности детей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мягкого оборудования (коврики, пуфы, напольные подушки, валики и др.)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легких лесенок, лавочек, передвижных модулей мебели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Использование вертикального и горизонтального оформления пространства группы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t>3</w:t>
            </w:r>
          </w:p>
        </w:tc>
        <w:tc>
          <w:tcPr>
            <w:tcW w:w="5620" w:type="dxa"/>
          </w:tcPr>
          <w:p w:rsidR="00792AB7" w:rsidRPr="00803B90" w:rsidRDefault="00792AB7" w:rsidP="00792AB7">
            <w:pPr>
              <w:rPr>
                <w:b/>
              </w:rPr>
            </w:pPr>
            <w:r w:rsidRPr="00803B90">
              <w:rPr>
                <w:b/>
              </w:rPr>
              <w:t xml:space="preserve">Полифункциональность материалов: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69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неоформленного игрового материала</w:t>
            </w:r>
            <w:r w:rsidRPr="005E49F3">
              <w:tab/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разнообразного природного материала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>Наличие разнообразных материалов (напольных, настольных) для организации детских построек и их обыгрывания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5E49F3">
              <w:t xml:space="preserve">Использование продуктов детской и взрослой </w:t>
            </w:r>
            <w:proofErr w:type="spellStart"/>
            <w:proofErr w:type="gramStart"/>
            <w:r w:rsidRPr="005E49F3">
              <w:t>дизайн-деятельности</w:t>
            </w:r>
            <w:proofErr w:type="spellEnd"/>
            <w:proofErr w:type="gramEnd"/>
            <w:r w:rsidRPr="005E49F3">
              <w:t xml:space="preserve"> для оформления макро-микросреды группы/участка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5620" w:type="dxa"/>
          </w:tcPr>
          <w:p w:rsidR="00792AB7" w:rsidRPr="00803B90" w:rsidRDefault="00792AB7" w:rsidP="00792AB7">
            <w:pPr>
              <w:rPr>
                <w:b/>
              </w:rPr>
            </w:pPr>
            <w:r w:rsidRPr="00803B90">
              <w:rPr>
                <w:b/>
              </w:rPr>
              <w:t xml:space="preserve">Вариативность среды: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5E49F3" w:rsidRDefault="00792AB7" w:rsidP="00792AB7">
            <w:r w:rsidRPr="00E877BA">
              <w:t>В группах выдержано зонирование пространства (выделены активная, рабочая, спокойная зоны</w:t>
            </w:r>
            <w:r>
              <w:t>)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Организованы "подвижные" границы между центрами (оформлены, но могут быть изменены под игровой замысел ребенка)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Наличие центров по пяти основным образовательных областям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Наличие в группах пространства для уединения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Знаковое обозначение центров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Сменяемость игровых материалов, стимулирующих детскую деятельност</w:t>
            </w:r>
            <w:r>
              <w:t>ь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5620" w:type="dxa"/>
          </w:tcPr>
          <w:p w:rsidR="00792AB7" w:rsidRPr="00E877BA" w:rsidRDefault="00792AB7" w:rsidP="00792AB7">
            <w:r w:rsidRPr="00803B90">
              <w:rPr>
                <w:b/>
              </w:rPr>
              <w:t>Доступность среды:</w:t>
            </w:r>
            <w:r w:rsidRPr="00E877BA">
              <w:t xml:space="preserve">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Соотношение масштаба "рост-глаз-рука"</w:t>
            </w:r>
            <w:r w:rsidRPr="00E877BA">
              <w:tab/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r w:rsidRPr="00E877BA">
              <w:t>Имеющиеся в пространстве групп игры и игрушки, пособия и др. доступны детям по возрасту, по содержанию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Имеющиеся в пространстве групп игры и игрушки, пособия систематизированы по тематике, маркированы, хранятся в легких контейнерах или стеллажах, легко транспортируются детьми в пространстве группы, в соответствии с их </w:t>
            </w:r>
            <w:proofErr w:type="gramStart"/>
            <w:r w:rsidRPr="00E877BA">
              <w:t>игровым</w:t>
            </w:r>
            <w:proofErr w:type="gramEnd"/>
          </w:p>
          <w:p w:rsidR="00792AB7" w:rsidRPr="00E877BA" w:rsidRDefault="00792AB7" w:rsidP="00792AB7">
            <w:pPr>
              <w:contextualSpacing/>
            </w:pPr>
            <w:r w:rsidRPr="00E877BA">
              <w:t>замыслом</w:t>
            </w:r>
            <w:r w:rsidRPr="00E877BA">
              <w:tab/>
            </w:r>
          </w:p>
          <w:p w:rsidR="00792AB7" w:rsidRPr="005E49F3" w:rsidRDefault="00792AB7" w:rsidP="00792AB7">
            <w:pPr>
              <w:contextualSpacing/>
            </w:pPr>
            <w:r w:rsidRPr="00E877BA">
              <w:t xml:space="preserve">Дети хорошо ориентируются в игровом оборудовании, </w:t>
            </w:r>
            <w:r w:rsidRPr="00E877BA">
              <w:lastRenderedPageBreak/>
              <w:t>используют его в разных видах деятельности, в со</w:t>
            </w:r>
            <w:r>
              <w:t>ответствии со своими интересами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 w:val="restart"/>
          </w:tcPr>
          <w:p w:rsidR="00792AB7" w:rsidRDefault="00792AB7" w:rsidP="00792AB7">
            <w:pPr>
              <w:spacing w:before="71"/>
            </w:pPr>
            <w:r>
              <w:lastRenderedPageBreak/>
              <w:t>6.</w:t>
            </w: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Б</w:t>
            </w:r>
            <w:r w:rsidRPr="00803B90">
              <w:rPr>
                <w:b/>
              </w:rPr>
              <w:t>езопасность</w:t>
            </w:r>
            <w:r w:rsidRPr="00E877BA">
              <w:t xml:space="preserve"> предметно-пространственной среды: 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Имеющаяся в пространстве групп мебель и стационарное оборудование </w:t>
            </w:r>
            <w:proofErr w:type="gramStart"/>
            <w:r w:rsidRPr="00E877BA">
              <w:t>исправны</w:t>
            </w:r>
            <w:proofErr w:type="gramEnd"/>
            <w:r w:rsidRPr="00E877BA">
              <w:t xml:space="preserve"> и сохранны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Имеющиеся в пространстве групп игрушки, пособия исправны и сохранны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Имеющиеся в пространстве групп игры и игрушки, пособия сертифицированы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Цветовое решение группы (стены, потолки, полы) соответствует требованиям комфортности и безопасности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В оформлении группы используются элементы домашней обстановки: аксессуары, легкая мебель, элементы декора и </w:t>
            </w:r>
            <w:proofErr w:type="spellStart"/>
            <w:proofErr w:type="gramStart"/>
            <w:r w:rsidRPr="00E877BA">
              <w:t>др</w:t>
            </w:r>
            <w:proofErr w:type="spellEnd"/>
            <w:proofErr w:type="gramEnd"/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  <w:vMerge w:val="restart"/>
          </w:tcPr>
          <w:p w:rsidR="00792AB7" w:rsidRPr="001379EC" w:rsidRDefault="00792AB7" w:rsidP="00792AB7">
            <w:pPr>
              <w:contextualSpacing/>
              <w:rPr>
                <w:i/>
              </w:rPr>
            </w:pPr>
            <w:r w:rsidRPr="00E877BA">
              <w:rPr>
                <w:i/>
              </w:rPr>
              <w:t xml:space="preserve">В ДОО созданы психолого-педагогические условия: </w:t>
            </w:r>
            <w:r w:rsidRPr="00E877BA">
              <w:rPr>
                <w:i/>
              </w:rPr>
              <w:tab/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620" w:type="dxa"/>
            <w:vMerge/>
          </w:tcPr>
          <w:p w:rsidR="00792AB7" w:rsidRPr="00E877BA" w:rsidRDefault="00792AB7" w:rsidP="00792AB7">
            <w:pPr>
              <w:contextualSpacing/>
            </w:pP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</w:tc>
      </w:tr>
      <w:tr w:rsidR="00792AB7" w:rsidTr="00792AB7">
        <w:trPr>
          <w:trHeight w:val="237"/>
        </w:trPr>
        <w:tc>
          <w:tcPr>
            <w:tcW w:w="505" w:type="dxa"/>
          </w:tcPr>
          <w:p w:rsidR="00792AB7" w:rsidRDefault="00792AB7" w:rsidP="00792AB7">
            <w:pPr>
              <w:spacing w:before="71"/>
            </w:pPr>
            <w:r>
              <w:t>7</w:t>
            </w: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Наличие специалистов, осуществляющих систематическую деятельность по обеспечению психолого-педагогических условий в ДОО: 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37"/>
        </w:trPr>
        <w:tc>
          <w:tcPr>
            <w:tcW w:w="505" w:type="dxa"/>
          </w:tcPr>
          <w:p w:rsidR="00792AB7" w:rsidRDefault="00792AB7" w:rsidP="00792AB7">
            <w:pPr>
              <w:spacing w:before="71"/>
            </w:pPr>
            <w:r>
              <w:t>8</w:t>
            </w: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Наличие кабинетов/помещений для работы педагога-психолога, проведения индивидуальной и подгрупповой работы с детьми, консультирования родителей (законных представителей воспитанников), проведения мероприятий психолого-педагогической поддержки педагогов ДОО</w:t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428"/>
        </w:trPr>
        <w:tc>
          <w:tcPr>
            <w:tcW w:w="505" w:type="dxa"/>
          </w:tcPr>
          <w:p w:rsidR="00792AB7" w:rsidRDefault="00792AB7" w:rsidP="00792AB7">
            <w:pPr>
              <w:spacing w:before="71"/>
            </w:pPr>
            <w:r>
              <w:t>9.</w:t>
            </w:r>
          </w:p>
        </w:tc>
        <w:tc>
          <w:tcPr>
            <w:tcW w:w="5620" w:type="dxa"/>
          </w:tcPr>
          <w:p w:rsidR="00792AB7" w:rsidRPr="00E877BA" w:rsidRDefault="00792AB7" w:rsidP="00792AB7">
            <w:pPr>
              <w:contextualSpacing/>
            </w:pPr>
            <w:r w:rsidRPr="00E877BA">
              <w:t>Наличие в ДОО психоло</w:t>
            </w:r>
            <w:r>
              <w:t xml:space="preserve">го-педагогического консилиума </w:t>
            </w:r>
          </w:p>
          <w:p w:rsidR="00792AB7" w:rsidRPr="00E877BA" w:rsidRDefault="00792AB7" w:rsidP="00792AB7">
            <w:pPr>
              <w:contextualSpacing/>
            </w:pPr>
            <w:r w:rsidRPr="00E877BA">
              <w:tab/>
            </w:r>
          </w:p>
        </w:tc>
        <w:tc>
          <w:tcPr>
            <w:tcW w:w="1591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3058" w:type="dxa"/>
            <w:gridSpan w:val="2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Pr="00E877BA" w:rsidRDefault="00792AB7" w:rsidP="00792AB7">
      <w:pPr>
        <w:contextualSpacing/>
        <w:rPr>
          <w:b/>
        </w:rPr>
      </w:pPr>
      <w:r w:rsidRPr="00E877BA">
        <w:rPr>
          <w:b/>
        </w:rPr>
        <w:t>Блок 4.</w:t>
      </w:r>
      <w:r w:rsidRPr="00E877BA">
        <w:t xml:space="preserve"> </w:t>
      </w:r>
      <w:r w:rsidRPr="00E877BA">
        <w:rPr>
          <w:b/>
        </w:rPr>
        <w:t>Качество реализации адаптированных основных образовательных программ (АООП)</w:t>
      </w:r>
    </w:p>
    <w:tbl>
      <w:tblPr>
        <w:tblStyle w:val="a3"/>
        <w:tblW w:w="10774" w:type="dxa"/>
        <w:tblInd w:w="-885" w:type="dxa"/>
        <w:tblLook w:val="04A0"/>
      </w:tblPr>
      <w:tblGrid>
        <w:gridCol w:w="503"/>
        <w:gridCol w:w="5366"/>
        <w:gridCol w:w="1529"/>
        <w:gridCol w:w="6"/>
        <w:gridCol w:w="1523"/>
        <w:gridCol w:w="1847"/>
      </w:tblGrid>
      <w:tr w:rsidR="00792AB7" w:rsidTr="00792AB7">
        <w:tc>
          <w:tcPr>
            <w:tcW w:w="50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  <w:p w:rsidR="00792AB7" w:rsidRDefault="00792AB7" w:rsidP="00792AB7">
            <w:pPr>
              <w:spacing w:before="71"/>
              <w:jc w:val="center"/>
            </w:pPr>
            <w:r>
              <w:t>соответствует</w:t>
            </w: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  <w:jc w:val="center"/>
            </w:pPr>
            <w:r w:rsidRPr="00E877BA">
              <w:t>частично     соответствует</w:t>
            </w: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  <w:p w:rsidR="00792AB7" w:rsidRDefault="00792AB7" w:rsidP="00792AB7">
            <w:pPr>
              <w:spacing w:before="71"/>
              <w:jc w:val="center"/>
            </w:pPr>
            <w:r w:rsidRPr="00E877BA">
              <w:t>не соответствует</w:t>
            </w:r>
          </w:p>
        </w:tc>
      </w:tr>
      <w:tr w:rsidR="00792AB7" w:rsidTr="00792AB7"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proofErr w:type="gramStart"/>
            <w:r w:rsidRPr="00E877BA">
              <w:t>В ДОО реализуется АООП ДО (</w:t>
            </w:r>
            <w:proofErr w:type="gramEnd"/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65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Количество АООП, </w:t>
            </w:r>
            <w:proofErr w:type="gramStart"/>
            <w:r w:rsidRPr="00E877BA">
              <w:t>утвержденных</w:t>
            </w:r>
            <w:proofErr w:type="gramEnd"/>
            <w:r w:rsidRPr="00E877BA">
              <w:t xml:space="preserve"> в ДОО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365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r w:rsidRPr="00E877BA">
              <w:t>Ссылка на страницу сайта ДОО, где размещен</w:t>
            </w:r>
            <w:proofErr w:type="gramStart"/>
            <w:r w:rsidRPr="00E877BA">
              <w:t>а(</w:t>
            </w:r>
            <w:proofErr w:type="spellStart"/>
            <w:proofErr w:type="gramEnd"/>
            <w:r w:rsidRPr="00E877BA">
              <w:t>ы</w:t>
            </w:r>
            <w:proofErr w:type="spellEnd"/>
            <w:r w:rsidRPr="00E877BA">
              <w:t>) АООП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95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АООП ДОО соответствует (ют) требованиям ФГОС </w:t>
            </w:r>
            <w:proofErr w:type="gramStart"/>
            <w:r w:rsidRPr="00E877BA">
              <w:t>ДО</w:t>
            </w:r>
            <w:proofErr w:type="gramEnd"/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44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Материально-техническое обеспечение  реализации АООП, в т.ч. и специальные условия для детей с ОВЗ созданы в ДОО    </w:t>
            </w:r>
            <w:r>
              <w:t xml:space="preserve">                   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56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5366" w:type="dxa"/>
          </w:tcPr>
          <w:p w:rsidR="00792AB7" w:rsidRDefault="00792AB7" w:rsidP="00792AB7">
            <w:pPr>
              <w:contextualSpacing/>
            </w:pPr>
            <w:r w:rsidRPr="00E877BA">
              <w:t>В ДОО реализуются задачи психолого-педагогической поддержки детей с ОВЗ, их социальной адаптации и реабилитации</w:t>
            </w:r>
            <w:r w:rsidRPr="00E877BA">
              <w:tab/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73"/>
        </w:trPr>
        <w:tc>
          <w:tcPr>
            <w:tcW w:w="503" w:type="dxa"/>
          </w:tcPr>
          <w:p w:rsidR="00792AB7" w:rsidRDefault="00792AB7" w:rsidP="00792AB7">
            <w:pPr>
              <w:spacing w:before="71"/>
            </w:pPr>
            <w:r>
              <w:t>7.</w:t>
            </w:r>
          </w:p>
        </w:tc>
        <w:tc>
          <w:tcPr>
            <w:tcW w:w="5366" w:type="dxa"/>
          </w:tcPr>
          <w:p w:rsidR="00792AB7" w:rsidRPr="00E877BA" w:rsidRDefault="00792AB7" w:rsidP="00792AB7">
            <w:pPr>
              <w:contextualSpacing/>
            </w:pPr>
            <w:r w:rsidRPr="00E877BA">
              <w:t>В ДОО реализуются задачи психолого-педагогической поддержки и сопровождения семей детей с ОВЗ, ив период адаптации и реабилитации</w:t>
            </w:r>
          </w:p>
        </w:tc>
        <w:tc>
          <w:tcPr>
            <w:tcW w:w="1535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847" w:type="dxa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spacing w:before="71"/>
      </w:pPr>
    </w:p>
    <w:p w:rsidR="00792AB7" w:rsidRDefault="00792AB7" w:rsidP="00792AB7">
      <w:pPr>
        <w:contextualSpacing/>
        <w:rPr>
          <w:b/>
        </w:rPr>
      </w:pPr>
      <w:r w:rsidRPr="00E877BA">
        <w:rPr>
          <w:b/>
        </w:rPr>
        <w:t>Блок 5.</w:t>
      </w:r>
      <w:r w:rsidRPr="00E877BA">
        <w:t xml:space="preserve"> </w:t>
      </w:r>
      <w:r w:rsidRPr="00E877BA">
        <w:rPr>
          <w:b/>
        </w:rPr>
        <w:t>Качество взаимодействия с семьями воспитанников ДОО (участие семей в образовательной деятельности, удовлетворенность семей образовательной деятельностью ДОО, индивидуальная поддержка развития детей в семье)</w:t>
      </w:r>
    </w:p>
    <w:p w:rsidR="00792AB7" w:rsidRPr="00E877BA" w:rsidRDefault="00792AB7" w:rsidP="00792AB7">
      <w:pPr>
        <w:contextualSpacing/>
        <w:rPr>
          <w:b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5388"/>
        <w:gridCol w:w="1559"/>
        <w:gridCol w:w="8"/>
        <w:gridCol w:w="1409"/>
        <w:gridCol w:w="1701"/>
      </w:tblGrid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5388" w:type="dxa"/>
          </w:tcPr>
          <w:p w:rsidR="00792AB7" w:rsidRPr="00E877BA" w:rsidRDefault="00792AB7" w:rsidP="00792AB7">
            <w:pPr>
              <w:contextualSpacing/>
            </w:pP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  <w:p w:rsidR="00792AB7" w:rsidRDefault="00792AB7" w:rsidP="00792AB7">
            <w:pPr>
              <w:spacing w:before="71"/>
              <w:jc w:val="center"/>
            </w:pPr>
            <w:r>
              <w:t>соответствует</w:t>
            </w: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  <w:jc w:val="center"/>
            </w:pPr>
            <w:r w:rsidRPr="00E877BA">
              <w:t>частично     соответствует</w:t>
            </w: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  <w:p w:rsidR="00792AB7" w:rsidRDefault="00792AB7" w:rsidP="00792AB7">
            <w:pPr>
              <w:spacing w:before="71"/>
              <w:jc w:val="center"/>
            </w:pPr>
            <w:r w:rsidRPr="00E877BA">
              <w:t>не соответствует</w:t>
            </w: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1</w:t>
            </w:r>
          </w:p>
        </w:tc>
        <w:tc>
          <w:tcPr>
            <w:tcW w:w="5388" w:type="dxa"/>
          </w:tcPr>
          <w:p w:rsidR="00792AB7" w:rsidRDefault="00792AB7" w:rsidP="00792AB7">
            <w:pPr>
              <w:contextualSpacing/>
            </w:pPr>
            <w:r w:rsidRPr="00E877BA">
              <w:t xml:space="preserve">В ДОО систематически изучают мнения родителей при организации образовательной деятельности (выборе образовательного содержания и методов работы с детьми с целью более полного удовлетворения образовательных потребностей ребенка в семье)       </w:t>
            </w: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spacing w:before="71"/>
            </w:pPr>
            <w:r>
              <w:t>2</w:t>
            </w:r>
          </w:p>
        </w:tc>
        <w:tc>
          <w:tcPr>
            <w:tcW w:w="5388" w:type="dxa"/>
          </w:tcPr>
          <w:p w:rsidR="00792AB7" w:rsidRDefault="00792AB7" w:rsidP="00792AB7">
            <w:pPr>
              <w:contextualSpacing/>
            </w:pPr>
            <w:r w:rsidRPr="00E877BA">
              <w:t>В ДОО выявляют уровень удовлетворенности родителей организацией и содержанием образовательной деятельности с детьми в ДОО</w:t>
            </w:r>
          </w:p>
          <w:p w:rsidR="00792AB7" w:rsidRDefault="00792AB7" w:rsidP="00792AB7">
            <w:pPr>
              <w:contextualSpacing/>
            </w:pP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Pr="00E877BA" w:rsidRDefault="00792AB7" w:rsidP="00792AB7">
            <w:pPr>
              <w:contextualSpacing/>
            </w:pPr>
            <w:r>
              <w:t>3.</w:t>
            </w:r>
          </w:p>
        </w:tc>
        <w:tc>
          <w:tcPr>
            <w:tcW w:w="5388" w:type="dxa"/>
          </w:tcPr>
          <w:p w:rsidR="00792AB7" w:rsidRPr="00E877BA" w:rsidRDefault="00792AB7" w:rsidP="00792AB7">
            <w:pPr>
              <w:spacing w:before="71"/>
            </w:pPr>
            <w:r w:rsidRPr="00E877BA">
              <w:t>Уровень удовлетворенности родителей организацией и содержанием образовательной деятельности с детьми в ДОО(%)</w:t>
            </w: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790"/>
        </w:trPr>
        <w:tc>
          <w:tcPr>
            <w:tcW w:w="567" w:type="dxa"/>
          </w:tcPr>
          <w:p w:rsidR="00792AB7" w:rsidRDefault="00792AB7" w:rsidP="00792AB7">
            <w:pPr>
              <w:contextualSpacing/>
            </w:pPr>
            <w:r>
              <w:t>4.</w:t>
            </w:r>
          </w:p>
        </w:tc>
        <w:tc>
          <w:tcPr>
            <w:tcW w:w="5388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. В ДОО разработан  комплекс мероприятий, направленных на вовлечение родителей в образовательную деятельность </w:t>
            </w: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567" w:type="dxa"/>
          </w:tcPr>
          <w:p w:rsidR="00792AB7" w:rsidRDefault="00792AB7" w:rsidP="00792AB7">
            <w:pPr>
              <w:contextualSpacing/>
            </w:pPr>
            <w:r>
              <w:t>5.</w:t>
            </w:r>
          </w:p>
        </w:tc>
        <w:tc>
          <w:tcPr>
            <w:tcW w:w="5388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Взаимодействие с родителями  выстраивается  на удобной им платформе (различные </w:t>
            </w:r>
            <w:proofErr w:type="spellStart"/>
            <w:r w:rsidRPr="00E877BA">
              <w:t>мессенджеры</w:t>
            </w:r>
            <w:proofErr w:type="spellEnd"/>
            <w:r w:rsidRPr="00E877BA">
              <w:t>, сайт, открытые формы для голосования)</w:t>
            </w: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785"/>
        </w:trPr>
        <w:tc>
          <w:tcPr>
            <w:tcW w:w="567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6. </w:t>
            </w:r>
          </w:p>
          <w:p w:rsidR="00792AB7" w:rsidRPr="00E877BA" w:rsidRDefault="00792AB7" w:rsidP="00792AB7">
            <w:pPr>
              <w:contextualSpacing/>
            </w:pPr>
            <w:r w:rsidRPr="00E877BA">
              <w:t xml:space="preserve">                                    </w:t>
            </w:r>
          </w:p>
          <w:p w:rsidR="00792AB7" w:rsidRDefault="00792AB7" w:rsidP="00792AB7">
            <w:pPr>
              <w:contextualSpacing/>
            </w:pPr>
            <w:r w:rsidRPr="00E877BA">
              <w:tab/>
            </w:r>
          </w:p>
        </w:tc>
        <w:tc>
          <w:tcPr>
            <w:tcW w:w="5388" w:type="dxa"/>
          </w:tcPr>
          <w:p w:rsidR="00792AB7" w:rsidRDefault="00792AB7" w:rsidP="00792AB7">
            <w:pPr>
              <w:contextualSpacing/>
            </w:pPr>
            <w:r w:rsidRPr="00E877BA">
              <w:t xml:space="preserve"> Во внутренней системе оценки качества (ВСОКО) ДОО установлены показатели качества взаимодействия с родителями </w:t>
            </w:r>
          </w:p>
        </w:tc>
        <w:tc>
          <w:tcPr>
            <w:tcW w:w="155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41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52"/>
        </w:trPr>
        <w:tc>
          <w:tcPr>
            <w:tcW w:w="567" w:type="dxa"/>
          </w:tcPr>
          <w:p w:rsidR="00792AB7" w:rsidRPr="00E877BA" w:rsidRDefault="00792AB7" w:rsidP="00792AB7">
            <w:pPr>
              <w:contextualSpacing/>
            </w:pPr>
            <w:r>
              <w:t>7.</w:t>
            </w:r>
            <w:r w:rsidRPr="00E877BA">
              <w:t xml:space="preserve"> </w:t>
            </w:r>
          </w:p>
          <w:p w:rsidR="00792AB7" w:rsidRPr="00E877BA" w:rsidRDefault="00792AB7" w:rsidP="00792AB7">
            <w:pPr>
              <w:contextualSpacing/>
            </w:pPr>
          </w:p>
        </w:tc>
        <w:tc>
          <w:tcPr>
            <w:tcW w:w="5388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В ДОО ведется учет индивидуальной поддержки развития детей в семье (консультации, </w:t>
            </w:r>
            <w:proofErr w:type="spellStart"/>
            <w:r w:rsidRPr="00E877BA">
              <w:t>тренинговая</w:t>
            </w:r>
            <w:proofErr w:type="spellEnd"/>
            <w:r w:rsidRPr="00E877BA">
              <w:t xml:space="preserve"> работа с семьями воспитанников)</w:t>
            </w:r>
          </w:p>
          <w:p w:rsidR="00792AB7" w:rsidRPr="00E877BA" w:rsidRDefault="00792AB7" w:rsidP="00792AB7">
            <w:pPr>
              <w:contextualSpacing/>
            </w:pPr>
            <w:r w:rsidRPr="00E877BA">
              <w:t xml:space="preserve">                                    </w:t>
            </w:r>
          </w:p>
        </w:tc>
        <w:tc>
          <w:tcPr>
            <w:tcW w:w="1567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40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701" w:type="dxa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Pr="00E877BA" w:rsidRDefault="00792AB7" w:rsidP="00792AB7">
      <w:pPr>
        <w:contextualSpacing/>
      </w:pPr>
      <w:r w:rsidRPr="00E877BA">
        <w:rPr>
          <w:b/>
        </w:rPr>
        <w:t>Блок 6.</w:t>
      </w:r>
      <w:r w:rsidRPr="00E877BA">
        <w:t xml:space="preserve"> </w:t>
      </w:r>
      <w:r w:rsidRPr="00E877BA">
        <w:rPr>
          <w:b/>
        </w:rPr>
        <w:t>Обеспечение здоровья, безопасности, качества услуг по присмотру и уходу</w:t>
      </w:r>
    </w:p>
    <w:tbl>
      <w:tblPr>
        <w:tblStyle w:val="a3"/>
        <w:tblW w:w="0" w:type="auto"/>
        <w:tblInd w:w="-885" w:type="dxa"/>
        <w:tblLook w:val="04A0"/>
      </w:tblPr>
      <w:tblGrid>
        <w:gridCol w:w="497"/>
        <w:gridCol w:w="5372"/>
        <w:gridCol w:w="1529"/>
        <w:gridCol w:w="6"/>
        <w:gridCol w:w="1523"/>
        <w:gridCol w:w="1529"/>
      </w:tblGrid>
      <w:tr w:rsidR="00792AB7" w:rsidTr="00792AB7">
        <w:tc>
          <w:tcPr>
            <w:tcW w:w="497" w:type="dxa"/>
            <w:vMerge w:val="restart"/>
          </w:tcPr>
          <w:p w:rsidR="00792AB7" w:rsidRDefault="00792AB7" w:rsidP="00792AB7">
            <w:pPr>
              <w:spacing w:before="71"/>
            </w:pPr>
          </w:p>
        </w:tc>
        <w:tc>
          <w:tcPr>
            <w:tcW w:w="5372" w:type="dxa"/>
            <w:vMerge w:val="restart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  <w:p w:rsidR="00792AB7" w:rsidRDefault="00792AB7" w:rsidP="00792AB7">
            <w:pPr>
              <w:spacing w:before="71"/>
              <w:jc w:val="center"/>
            </w:pPr>
            <w:r>
              <w:t>соответствует</w:t>
            </w: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  <w:jc w:val="center"/>
            </w:pPr>
            <w:r w:rsidRPr="00E877BA">
              <w:t>частично     соответствует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  <w:p w:rsidR="00792AB7" w:rsidRDefault="00792AB7" w:rsidP="00792AB7">
            <w:pPr>
              <w:spacing w:before="71"/>
              <w:jc w:val="center"/>
            </w:pPr>
            <w:r w:rsidRPr="00E877BA">
              <w:t>не соответствует</w:t>
            </w:r>
          </w:p>
        </w:tc>
      </w:tr>
      <w:tr w:rsidR="00792AB7" w:rsidTr="00792AB7">
        <w:tc>
          <w:tcPr>
            <w:tcW w:w="497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5372" w:type="dxa"/>
            <w:vMerge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77"/>
        </w:trPr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5372" w:type="dxa"/>
          </w:tcPr>
          <w:p w:rsidR="00792AB7" w:rsidRDefault="00792AB7" w:rsidP="00792AB7">
            <w:pPr>
              <w:contextualSpacing/>
            </w:pPr>
            <w:r>
              <w:t xml:space="preserve"> В ОУ</w:t>
            </w:r>
            <w:r w:rsidRPr="00E877BA">
              <w:t xml:space="preserve"> систематически реализуются мероприятия по сохранению и укреплению здоровья воспитанников 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800"/>
        </w:trPr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5372" w:type="dxa"/>
          </w:tcPr>
          <w:p w:rsidR="00792AB7" w:rsidRPr="00E877BA" w:rsidRDefault="00792AB7" w:rsidP="00792AB7">
            <w:pPr>
              <w:contextualSpacing/>
            </w:pPr>
            <w:r>
              <w:t>В ОУ</w:t>
            </w:r>
            <w:r w:rsidRPr="00E877BA">
              <w:t xml:space="preserve"> реализуется система мероприятий, обеспечивающих комплексную безопасность воспитанников и сотрудников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274"/>
        </w:trPr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5372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 Обеспечена безопасность групповых помещений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rPr>
          <w:trHeight w:val="505"/>
        </w:trPr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5372" w:type="dxa"/>
          </w:tcPr>
          <w:p w:rsidR="00792AB7" w:rsidRPr="00E877BA" w:rsidRDefault="00792AB7" w:rsidP="00792AB7">
            <w:pPr>
              <w:contextualSpacing/>
            </w:pPr>
            <w:r w:rsidRPr="00E877BA">
              <w:t>Обеспечена безопасность территории для прогулок на свежем воздухе</w:t>
            </w: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5372" w:type="dxa"/>
          </w:tcPr>
          <w:p w:rsidR="00792AB7" w:rsidRPr="00E877BA" w:rsidRDefault="00792AB7" w:rsidP="00792AB7">
            <w:pPr>
              <w:contextualSpacing/>
            </w:pPr>
            <w:r w:rsidRPr="00E877BA">
              <w:t>Осуществляются регулярные действия  по формированию у воспитанников основ безопасного поведения</w:t>
            </w:r>
          </w:p>
        </w:tc>
        <w:tc>
          <w:tcPr>
            <w:tcW w:w="1535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97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5372" w:type="dxa"/>
          </w:tcPr>
          <w:p w:rsidR="00792AB7" w:rsidRDefault="00792AB7" w:rsidP="00792AB7">
            <w:pPr>
              <w:contextualSpacing/>
            </w:pPr>
            <w:r>
              <w:t>В ОУ</w:t>
            </w:r>
            <w:r w:rsidRPr="00E877BA">
              <w:t xml:space="preserve"> созданы условия для обеспечения качества услуг по присмотру и уходу за детьми (встреча/прощание; сон/отдых; пользование туалетом; гигиена)</w:t>
            </w:r>
            <w:r w:rsidRPr="00E877BA">
              <w:tab/>
            </w:r>
          </w:p>
        </w:tc>
        <w:tc>
          <w:tcPr>
            <w:tcW w:w="1535" w:type="dxa"/>
            <w:gridSpan w:val="2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529" w:type="dxa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Default="00792AB7" w:rsidP="00792AB7">
      <w:pPr>
        <w:contextualSpacing/>
        <w:rPr>
          <w:b/>
        </w:rPr>
      </w:pPr>
    </w:p>
    <w:p w:rsidR="00792AB7" w:rsidRDefault="00792AB7" w:rsidP="00792AB7">
      <w:pPr>
        <w:contextualSpacing/>
        <w:rPr>
          <w:b/>
        </w:rPr>
      </w:pPr>
    </w:p>
    <w:p w:rsidR="00792AB7" w:rsidRPr="00E877BA" w:rsidRDefault="00792AB7" w:rsidP="00792AB7">
      <w:pPr>
        <w:contextualSpacing/>
        <w:rPr>
          <w:b/>
        </w:rPr>
      </w:pPr>
      <w:r w:rsidRPr="00E877BA">
        <w:rPr>
          <w:b/>
        </w:rPr>
        <w:t>Блок 7.</w:t>
      </w:r>
      <w:r w:rsidRPr="00E877BA">
        <w:t xml:space="preserve">  </w:t>
      </w:r>
      <w:r w:rsidRPr="00E877BA">
        <w:rPr>
          <w:b/>
        </w:rPr>
        <w:t>Повышение качества управления в ДОО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24"/>
        <w:gridCol w:w="5531"/>
        <w:gridCol w:w="1417"/>
        <w:gridCol w:w="1393"/>
        <w:gridCol w:w="1691"/>
      </w:tblGrid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  <w:jc w:val="center"/>
            </w:pPr>
            <w:r>
              <w:t>ДА</w:t>
            </w:r>
          </w:p>
          <w:p w:rsidR="00792AB7" w:rsidRDefault="00792AB7" w:rsidP="00792AB7">
            <w:pPr>
              <w:spacing w:before="71"/>
              <w:jc w:val="center"/>
            </w:pPr>
            <w:r>
              <w:t>соответствует</w:t>
            </w: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  <w:jc w:val="center"/>
            </w:pPr>
            <w:r w:rsidRPr="00E877BA">
              <w:t>частично     соответствует</w:t>
            </w: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  <w:jc w:val="center"/>
            </w:pPr>
            <w:r>
              <w:t>НЕТ</w:t>
            </w:r>
          </w:p>
          <w:p w:rsidR="00792AB7" w:rsidRDefault="00792AB7" w:rsidP="00792AB7">
            <w:pPr>
              <w:spacing w:before="71"/>
              <w:jc w:val="center"/>
            </w:pPr>
            <w:r w:rsidRPr="00E877BA">
              <w:t>не соответствует</w:t>
            </w: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1.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>
              <w:t xml:space="preserve">Представители администрации </w:t>
            </w:r>
            <w:proofErr w:type="spellStart"/>
            <w:r>
              <w:t>ОУ</w:t>
            </w:r>
            <w:r w:rsidRPr="00E877BA">
              <w:t>имеют</w:t>
            </w:r>
            <w:proofErr w:type="spellEnd"/>
            <w:r w:rsidRPr="00E877BA">
              <w:t xml:space="preserve"> профессиональное образование по направлению "менеджмент"; диплом о профессиональной переподготовке по направлению "менеджмент"</w:t>
            </w:r>
          </w:p>
          <w:p w:rsidR="00792AB7" w:rsidRPr="00E877BA" w:rsidRDefault="00792AB7" w:rsidP="00792AB7">
            <w:pPr>
              <w:contextualSpacing/>
            </w:pPr>
            <w:r>
              <w:t xml:space="preserve"> </w:t>
            </w:r>
            <w:r w:rsidRPr="00E877BA">
              <w:t>Руководитель</w:t>
            </w:r>
          </w:p>
          <w:p w:rsidR="00792AB7" w:rsidRDefault="00792AB7" w:rsidP="00792AB7">
            <w:pPr>
              <w:spacing w:before="71"/>
            </w:pPr>
            <w:r w:rsidRPr="00E877BA">
              <w:t>Заместитель руководителя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2.</w:t>
            </w:r>
          </w:p>
        </w:tc>
        <w:tc>
          <w:tcPr>
            <w:tcW w:w="5531" w:type="dxa"/>
          </w:tcPr>
          <w:p w:rsidR="00792AB7" w:rsidRDefault="00792AB7" w:rsidP="00792AB7">
            <w:pPr>
              <w:contextualSpacing/>
            </w:pPr>
            <w:r w:rsidRPr="00E877BA">
              <w:t xml:space="preserve">Представители администрации </w:t>
            </w:r>
            <w:r>
              <w:t xml:space="preserve">ОУ </w:t>
            </w:r>
            <w:r w:rsidRPr="00E877BA">
              <w:t xml:space="preserve">прошли курсы повышения квалификации </w:t>
            </w:r>
            <w:proofErr w:type="gramStart"/>
            <w:r w:rsidRPr="00E877BA">
              <w:t>за</w:t>
            </w:r>
            <w:proofErr w:type="gramEnd"/>
            <w:r w:rsidRPr="00E877BA">
              <w:t xml:space="preserve"> последние 3 года:                                                            </w:t>
            </w:r>
            <w:bookmarkStart w:id="0" w:name="_GoBack"/>
            <w:bookmarkEnd w:id="0"/>
            <w:r w:rsidRPr="00E877BA">
              <w:t xml:space="preserve"> </w:t>
            </w:r>
          </w:p>
          <w:p w:rsidR="00792AB7" w:rsidRPr="00E877BA" w:rsidRDefault="00792AB7" w:rsidP="00792AB7">
            <w:pPr>
              <w:contextualSpacing/>
            </w:pPr>
            <w:r w:rsidRPr="00E877BA">
              <w:t>Руководитель</w:t>
            </w:r>
          </w:p>
          <w:p w:rsidR="00792AB7" w:rsidRDefault="00792AB7" w:rsidP="00792AB7">
            <w:pPr>
              <w:spacing w:before="71"/>
            </w:pPr>
            <w:r w:rsidRPr="00E877BA">
              <w:t>Заместитель руководителя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3.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>
              <w:t>В ОУ</w:t>
            </w:r>
            <w:r w:rsidRPr="00E877BA">
              <w:t xml:space="preserve"> разработана и </w:t>
            </w:r>
            <w:r>
              <w:t>реализуется Программа развития  ОУ</w:t>
            </w:r>
            <w:r w:rsidRPr="00E877BA">
              <w:t xml:space="preserve"> (да, нет)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4.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>
              <w:t>В ОУ</w:t>
            </w:r>
            <w:r w:rsidRPr="00E877BA">
              <w:t xml:space="preserve"> функционирует  коллегиальный орган управления ДОО (Управляющий совет, Совет родителей, др.) (да</w:t>
            </w:r>
            <w:proofErr w:type="gramStart"/>
            <w:r w:rsidRPr="00E877BA">
              <w:t xml:space="preserve"> ,</w:t>
            </w:r>
            <w:proofErr w:type="gramEnd"/>
            <w:r w:rsidRPr="00E877BA">
              <w:t>нет)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5.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>
              <w:t>ОУ</w:t>
            </w:r>
            <w:r w:rsidRPr="00E877BA">
              <w:t xml:space="preserve"> имеет статус  инновационной площадки, подтвержденный документально (да, нет)</w:t>
            </w:r>
          </w:p>
          <w:p w:rsidR="00792AB7" w:rsidRPr="00E877BA" w:rsidRDefault="00792AB7" w:rsidP="00792AB7">
            <w:pPr>
              <w:contextualSpacing/>
            </w:pPr>
            <w:r w:rsidRPr="00E877BA">
              <w:t xml:space="preserve"> Если «да», то нужное подчеркнуть</w:t>
            </w:r>
          </w:p>
          <w:p w:rsidR="00792AB7" w:rsidRPr="00E877BA" w:rsidRDefault="00792AB7" w:rsidP="00792AB7">
            <w:pPr>
              <w:contextualSpacing/>
            </w:pPr>
            <w:r w:rsidRPr="00E877BA">
              <w:t>Федерального уровня,</w:t>
            </w:r>
            <w:r w:rsidRPr="00E877BA">
              <w:tab/>
              <w:t xml:space="preserve"> регионального уровня, муниципального уровня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6.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>
              <w:t>В ОУ</w:t>
            </w:r>
            <w:r w:rsidRPr="00E877BA">
              <w:t xml:space="preserve"> разработана и функционирует Внутренняя система оценки качества (ВСОКО) (да, нет)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7.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 w:rsidRPr="00E877BA">
              <w:t>Есть управленческий документ об утверждении порядка, процедуры, инструментов ВСОКО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8.</w:t>
            </w:r>
          </w:p>
        </w:tc>
        <w:tc>
          <w:tcPr>
            <w:tcW w:w="5531" w:type="dxa"/>
          </w:tcPr>
          <w:p w:rsidR="00792AB7" w:rsidRPr="00E877BA" w:rsidRDefault="00792AB7" w:rsidP="00792AB7">
            <w:pPr>
              <w:contextualSpacing/>
            </w:pPr>
            <w:r w:rsidRPr="00E877BA">
              <w:t xml:space="preserve">Есть данные о результатах оценки качества </w:t>
            </w:r>
            <w:proofErr w:type="gramStart"/>
            <w:r w:rsidRPr="00E877BA">
              <w:t>ДО</w:t>
            </w:r>
            <w:proofErr w:type="gramEnd"/>
            <w:r w:rsidRPr="00E877BA">
              <w:t xml:space="preserve"> (по ВСОКО</w:t>
            </w:r>
            <w:r>
              <w:t>)</w:t>
            </w: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  <w:tr w:rsidR="00792AB7" w:rsidTr="00792AB7">
        <w:tc>
          <w:tcPr>
            <w:tcW w:w="424" w:type="dxa"/>
          </w:tcPr>
          <w:p w:rsidR="00792AB7" w:rsidRDefault="00792AB7" w:rsidP="00792AB7">
            <w:pPr>
              <w:spacing w:before="71"/>
            </w:pPr>
            <w:r>
              <w:t>9.</w:t>
            </w:r>
          </w:p>
        </w:tc>
        <w:tc>
          <w:tcPr>
            <w:tcW w:w="5531" w:type="dxa"/>
          </w:tcPr>
          <w:p w:rsidR="00792AB7" w:rsidRDefault="00792AB7" w:rsidP="00792AB7">
            <w:pPr>
              <w:spacing w:before="71"/>
            </w:pPr>
            <w:r w:rsidRPr="00E877BA">
              <w:t>Есть управленческие документы о мерах по повышению качест</w:t>
            </w:r>
            <w:r>
              <w:t>ва дошкольного образования в ОУ</w:t>
            </w:r>
            <w:r w:rsidRPr="00E877BA">
              <w:t xml:space="preserve"> по результатам ВСОКО</w:t>
            </w:r>
          </w:p>
          <w:p w:rsidR="00792AB7" w:rsidRPr="00E877BA" w:rsidRDefault="00792AB7" w:rsidP="00792AB7">
            <w:pPr>
              <w:contextualSpacing/>
            </w:pPr>
          </w:p>
        </w:tc>
        <w:tc>
          <w:tcPr>
            <w:tcW w:w="1417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393" w:type="dxa"/>
          </w:tcPr>
          <w:p w:rsidR="00792AB7" w:rsidRDefault="00792AB7" w:rsidP="00792AB7">
            <w:pPr>
              <w:spacing w:before="71"/>
            </w:pPr>
          </w:p>
        </w:tc>
        <w:tc>
          <w:tcPr>
            <w:tcW w:w="1691" w:type="dxa"/>
          </w:tcPr>
          <w:p w:rsidR="00792AB7" w:rsidRDefault="00792AB7" w:rsidP="00792AB7">
            <w:pPr>
              <w:spacing w:before="71"/>
            </w:pPr>
          </w:p>
        </w:tc>
      </w:tr>
    </w:tbl>
    <w:p w:rsidR="00792AB7" w:rsidRPr="00E877BA" w:rsidRDefault="00792AB7" w:rsidP="00792AB7">
      <w:pPr>
        <w:contextualSpacing/>
      </w:pPr>
      <w:r w:rsidRPr="00E877BA">
        <w:tab/>
      </w:r>
    </w:p>
    <w:p w:rsidR="00792AB7" w:rsidRPr="00E877BA" w:rsidRDefault="00792AB7" w:rsidP="00792AB7">
      <w:pPr>
        <w:contextualSpacing/>
      </w:pPr>
      <w:r w:rsidRPr="00E877BA">
        <w:tab/>
      </w:r>
    </w:p>
    <w:p w:rsidR="00792AB7" w:rsidRPr="00E877BA" w:rsidRDefault="00792AB7" w:rsidP="00792AB7">
      <w:pPr>
        <w:contextualSpacing/>
      </w:pPr>
      <w:r w:rsidRPr="00E877BA">
        <w:tab/>
      </w:r>
    </w:p>
    <w:p w:rsidR="00792AB7" w:rsidRPr="00E877BA" w:rsidRDefault="00792AB7" w:rsidP="00792AB7">
      <w:pPr>
        <w:contextualSpacing/>
      </w:pPr>
      <w:r w:rsidRPr="00E877BA">
        <w:tab/>
      </w:r>
    </w:p>
    <w:p w:rsidR="00792AB7" w:rsidRPr="00E877BA" w:rsidRDefault="00792AB7" w:rsidP="00792AB7">
      <w:pPr>
        <w:contextualSpacing/>
      </w:pPr>
      <w:r w:rsidRPr="00E877BA">
        <w:tab/>
      </w: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p w:rsidR="00792AB7" w:rsidRDefault="00792AB7" w:rsidP="00792AB7">
      <w:pPr>
        <w:spacing w:before="71"/>
      </w:pPr>
    </w:p>
    <w:sectPr w:rsidR="00792AB7" w:rsidSect="002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2AB7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8D4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455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2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AB7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17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77D6B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D06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A63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2FEE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AB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2022-12-07T10:21:00Z</dcterms:created>
  <dcterms:modified xsi:type="dcterms:W3CDTF">2022-12-07T11:04:00Z</dcterms:modified>
</cp:coreProperties>
</file>